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太仓市社会医疗保险宣传资料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转外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就医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转外条件</w:t>
      </w:r>
    </w:p>
    <w:p>
      <w:pPr>
        <w:spacing w:line="31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参保人员经本市市级医</w:t>
      </w:r>
      <w:r>
        <w:rPr>
          <w:rFonts w:hint="eastAsia" w:ascii="仿宋_GB2312" w:hAnsi="仿宋" w:eastAsia="仿宋_GB2312"/>
          <w:sz w:val="24"/>
          <w:szCs w:val="24"/>
        </w:rPr>
        <w:t>院（市一院、二院、三院—限精神病）检查会诊后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仿宋_GB2312" w:hAnsi="仿宋" w:eastAsia="仿宋_GB2312"/>
          <w:sz w:val="24"/>
          <w:szCs w:val="24"/>
        </w:rPr>
        <w:t>因病情需要，须转往外市上级（本市社会医疗保险定点）医院就诊。</w:t>
      </w:r>
    </w:p>
    <w:p>
      <w:pPr>
        <w:spacing w:line="440" w:lineRule="exact"/>
        <w:rPr>
          <w:rFonts w:hint="eastAsia" w:ascii="仿宋_GB2312" w:hAnsi="仿宋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待遇规定</w:t>
      </w:r>
    </w:p>
    <w:p>
      <w:pPr>
        <w:spacing w:line="31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1．参保人员符合转外就医标准的，先由市级定点医院（市一院、二院、三院—限精神病）相关专科副主任医师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以上职称（或科室副主任以上）的经治医师，开具《太仓市社会医疗保险参保人员转院登记表》，经本院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24"/>
          <w:szCs w:val="24"/>
        </w:rPr>
        <w:t>医政管理部门盖章同意后，所发生的医疗费用按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我市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社会医疗保险的规定报销，《转院登记表》有效期为一年，过期需重新办理；</w:t>
      </w:r>
    </w:p>
    <w:p>
      <w:pPr>
        <w:spacing w:line="31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2．正常办理转外就医手续后，因病情需要又转往其分院就诊的费用，提供转入医院医务部门出具转往分院的证明并盖章后，可按医保规定报销；</w:t>
      </w:r>
    </w:p>
    <w:p>
      <w:pPr>
        <w:spacing w:line="31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3．参保人员未经本市医院同意，自行前往我市医保定点的外市上级医院就医所发生的医疗费用，享受医保规定待遇的90%；</w:t>
      </w:r>
    </w:p>
    <w:p>
      <w:pPr>
        <w:spacing w:line="31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4．参保人员自行前往非我市医保转外定点非营利性医院（限三级）就医所发生的医疗费用，享受医保规定待遇的80%；</w:t>
      </w:r>
    </w:p>
    <w:p>
      <w:pPr>
        <w:spacing w:line="310" w:lineRule="exact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5．其余情况转外就医所发生的医疗费用，医疗保险基金不予支付；</w:t>
      </w:r>
    </w:p>
    <w:p>
      <w:pPr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24"/>
          <w:szCs w:val="24"/>
        </w:rPr>
        <w:t>6、转外就医所发生的医疗费用符合以上报销规定时，对超出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我市</w:t>
      </w:r>
      <w:r>
        <w:rPr>
          <w:rFonts w:hint="eastAsia" w:ascii="仿宋_GB2312" w:hAnsi="仿宋" w:eastAsia="仿宋_GB2312"/>
          <w:sz w:val="24"/>
          <w:szCs w:val="24"/>
        </w:rPr>
        <w:t>医疗保险收费标准的费用，医疗保险基金不予支付。</w:t>
      </w:r>
    </w:p>
    <w:p>
      <w:pPr>
        <w:spacing w:line="30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太仓市医疗保险转外就医定点医院</w:t>
      </w:r>
    </w:p>
    <w:tbl>
      <w:tblPr>
        <w:tblStyle w:val="4"/>
        <w:tblW w:w="11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  <w:gridCol w:w="3600"/>
        <w:gridCol w:w="3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上海市（</w:t>
            </w:r>
            <w:r>
              <w:rPr>
                <w:rFonts w:hint="eastAsia" w:ascii="仿宋_GB2312" w:eastAsia="仿宋_GB2312"/>
                <w:b/>
                <w:bCs/>
                <w:color w:val="FF0000"/>
                <w:szCs w:val="21"/>
              </w:rPr>
              <w:t>4</w:t>
            </w:r>
            <w:r>
              <w:rPr>
                <w:rFonts w:hint="eastAsia" w:ascii="仿宋_GB2312" w:eastAsia="仿宋_GB2312"/>
                <w:b/>
                <w:b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家）：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上海二军大学附属长征医院；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南京中医药大学附属医院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上海第二医科大学附属仁济医院；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上海二军大学附属长海医院；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（江苏省中医院）；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上海第二医科大学附属第九人民医院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上海二军大附属东方肝胆外科医院；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南京军区总医院；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（本院、浦东分院）；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解放军第四一一医院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南京医科大学第二附属医院；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上海第二医科大学附属瑞金医院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（限恶性肿瘤伽马刀治疗）；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东南大学附属中大医院；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（本院、北院）；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上海光华医院（限风湿类疾病）；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江苏省口腔医院；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上海第二医科大学附属新华医院；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上海市中医文献馆中医门诊部；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江苏省第二中医院；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上海中医药大学附属龙华医院；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上海市中医医院；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江苏省中西结合医院；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上海中医药大学附属曙光医院；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上海市中西医结合医院；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南京大学医学院附属鼓楼医院；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上海中医药大学附属岳阳中西医结合医院；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上海市华东医院；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南京市第一医院；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上海交通大学附属胸科医院；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上海市第三人民医院；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南京市中医院；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上海交通大学附属第一人民医院；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上海市第一肺科医院；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南京市脑科医院；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上海交通大学附属第六人民医院；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上海市第一妇婴保健院；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南京市博大肾科医院。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上海交通大学附属儿童医院；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上海市公共卫生临床中心；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苏州市（1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家）：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复旦大学附属中山医院；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上海市皮肤病性病防治中心；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苏州大学附属第一医院；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复旦大学附属华山医院；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上海市眼病防治中心；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苏州大学附属第二医院；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复旦大学附属华山医院伽玛刀中心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中国福利会国际和平妇幼保健院；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苏州市市立医院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（上海伽玛刀医院 限恶性肿瘤伽马刀治疗）；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上海市精神卫生中心；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（本部、北区、东区）；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复旦大学附属眼耳鼻喉科医院；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上海市口腔病防治院；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苏州市中医医院；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复旦大学附属妇产科医院；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解放军第四五五医院；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苏州市九龙医院；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复旦大学附属肿瘤医院；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解放军第八五医院；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苏州市第五人民医院（限传染病）；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复旦大学附属儿童医院；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黄浦区中心医院（限乳腺专科)；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苏州市广济医院（限精神病）；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同济大学附属口腔医院；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远洋医院（限糖尿病足)。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苏州市儿童医院；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同济大学附属第十人民医院；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南京市（14家）: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苏州解放军100医院；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fldChar w:fldCharType="begin"/>
            </w:r>
            <w:r>
              <w:rPr>
                <w:rFonts w:ascii="仿宋_GB2312" w:eastAsia="仿宋_GB2312"/>
                <w:color w:val="000000"/>
                <w:szCs w:val="21"/>
              </w:rPr>
              <w:instrText xml:space="preserve"> HYPERLINK "http://baike.baidu.com/view/1718949.htm" </w:instrText>
            </w:r>
            <w:r>
              <w:rPr>
                <w:rFonts w:ascii="仿宋_GB2312" w:eastAsia="仿宋_GB2312"/>
                <w:color w:val="000000"/>
                <w:szCs w:val="21"/>
              </w:rPr>
              <w:fldChar w:fldCharType="separate"/>
            </w:r>
            <w:r>
              <w:rPr>
                <w:rStyle w:val="3"/>
                <w:rFonts w:hint="eastAsia" w:ascii="仿宋_GB2312" w:eastAsia="仿宋_GB2312"/>
                <w:color w:val="000000"/>
                <w:szCs w:val="21"/>
                <w:u w:val="none"/>
              </w:rPr>
              <w:t>同济大学附属肺科医院；</w:t>
            </w:r>
            <w:r>
              <w:rPr>
                <w:rFonts w:ascii="仿宋_GB2312" w:eastAsia="仿宋_GB2312"/>
                <w:color w:val="000000"/>
                <w:szCs w:val="21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南京医科大学第一附属医院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苏州瑞盛医院（限工伤康复）；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同济大学附属东方医院；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（江苏省人民医院）；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苏州明基医院；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同济大学附属同济医院；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江苏省肿瘤医院；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苏州理想眼科医院。</w:t>
            </w:r>
          </w:p>
        </w:tc>
      </w:tr>
    </w:tbl>
    <w:p>
      <w:pPr>
        <w:autoSpaceDE w:val="0"/>
        <w:autoSpaceDN w:val="0"/>
        <w:adjustRightInd w:val="0"/>
        <w:spacing w:line="330" w:lineRule="exact"/>
        <w:rPr>
          <w:rFonts w:hint="eastAsia" w:ascii="仿宋_GB2312" w:eastAsia="仿宋_GB2312" w:cs="仿宋_GB2312"/>
          <w:sz w:val="24"/>
          <w:szCs w:val="24"/>
        </w:rPr>
      </w:pPr>
    </w:p>
    <w:p>
      <w:pPr>
        <w:spacing w:line="360" w:lineRule="exact"/>
        <w:jc w:val="righ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咨询电话：</w:t>
      </w:r>
      <w:r>
        <w:rPr>
          <w:rFonts w:ascii="仿宋_GB2312" w:eastAsia="仿宋_GB2312" w:cs="仿宋_GB2312"/>
          <w:b/>
          <w:bCs/>
          <w:sz w:val="24"/>
          <w:szCs w:val="24"/>
        </w:rPr>
        <w:t>12333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、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53588995     </w:t>
      </w:r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 xml:space="preserve">           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太仓市医疗保险基金结算中心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2017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年</w:t>
      </w:r>
      <w:r>
        <w:rPr>
          <w:rFonts w:ascii="仿宋_GB2312" w:eastAsia="仿宋_GB2312" w:cs="仿宋_GB2312"/>
          <w:b/>
          <w:bCs/>
          <w:sz w:val="24"/>
          <w:szCs w:val="24"/>
        </w:rPr>
        <w:t>1</w:t>
      </w:r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月</w:t>
      </w:r>
    </w:p>
    <w:sectPr>
      <w:pgSz w:w="11906" w:h="16838"/>
      <w:pgMar w:top="624" w:right="850" w:bottom="476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D0082C"/>
    <w:rsid w:val="00163C48"/>
    <w:rsid w:val="001F3A47"/>
    <w:rsid w:val="00223390"/>
    <w:rsid w:val="00244FC7"/>
    <w:rsid w:val="002468D7"/>
    <w:rsid w:val="002A5C8D"/>
    <w:rsid w:val="00305BF1"/>
    <w:rsid w:val="003357C4"/>
    <w:rsid w:val="00385D6F"/>
    <w:rsid w:val="003C2838"/>
    <w:rsid w:val="003C6FBF"/>
    <w:rsid w:val="00504167"/>
    <w:rsid w:val="006A2EE9"/>
    <w:rsid w:val="006F1528"/>
    <w:rsid w:val="00733789"/>
    <w:rsid w:val="00790DC4"/>
    <w:rsid w:val="007B6FA0"/>
    <w:rsid w:val="00814D8F"/>
    <w:rsid w:val="008E0DE7"/>
    <w:rsid w:val="008E7158"/>
    <w:rsid w:val="008F56D8"/>
    <w:rsid w:val="009040FC"/>
    <w:rsid w:val="00A57351"/>
    <w:rsid w:val="00AB14F4"/>
    <w:rsid w:val="00B43E4E"/>
    <w:rsid w:val="00B6756A"/>
    <w:rsid w:val="00B925B5"/>
    <w:rsid w:val="00BC47A8"/>
    <w:rsid w:val="00BD3B1D"/>
    <w:rsid w:val="00D5347E"/>
    <w:rsid w:val="00DC35F6"/>
    <w:rsid w:val="00E521AF"/>
    <w:rsid w:val="00F3196E"/>
    <w:rsid w:val="00F37DB1"/>
    <w:rsid w:val="01FB23CB"/>
    <w:rsid w:val="0AB13A8B"/>
    <w:rsid w:val="0B685893"/>
    <w:rsid w:val="0B867E93"/>
    <w:rsid w:val="0EC06839"/>
    <w:rsid w:val="0FCE44FB"/>
    <w:rsid w:val="16C16063"/>
    <w:rsid w:val="1E514510"/>
    <w:rsid w:val="2B5603B0"/>
    <w:rsid w:val="2D147962"/>
    <w:rsid w:val="2F1269D1"/>
    <w:rsid w:val="31DC74D6"/>
    <w:rsid w:val="32C957DF"/>
    <w:rsid w:val="33C57F0D"/>
    <w:rsid w:val="37D719EF"/>
    <w:rsid w:val="3F673AE6"/>
    <w:rsid w:val="3F8B424E"/>
    <w:rsid w:val="47651003"/>
    <w:rsid w:val="481B52E0"/>
    <w:rsid w:val="482E0E6C"/>
    <w:rsid w:val="4B6A71C8"/>
    <w:rsid w:val="4CD0082C"/>
    <w:rsid w:val="4DC3281F"/>
    <w:rsid w:val="4FA871BC"/>
    <w:rsid w:val="51CF63DD"/>
    <w:rsid w:val="52026ACD"/>
    <w:rsid w:val="52AA302D"/>
    <w:rsid w:val="57EB40A9"/>
    <w:rsid w:val="5A1B147A"/>
    <w:rsid w:val="5AEF0CBE"/>
    <w:rsid w:val="60E14C56"/>
    <w:rsid w:val="63C11A36"/>
    <w:rsid w:val="64F370C5"/>
    <w:rsid w:val="686E5B8C"/>
    <w:rsid w:val="6B322A91"/>
    <w:rsid w:val="6D695603"/>
    <w:rsid w:val="732D55B7"/>
    <w:rsid w:val="73651863"/>
    <w:rsid w:val="7389596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tchrss</Company>
  <Pages>1</Pages>
  <Words>153</Words>
  <Characters>876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2017-07-27T02:02:00Z</dcterms:created>
  <dc:creator>Administrator</dc:creator>
  <cp:lastModifiedBy>Administrator</cp:lastModifiedBy>
  <cp:lastPrinted>2017-10-23T01:22:00Z</cp:lastPrinted>
  <dcterms:modified xsi:type="dcterms:W3CDTF">2017-11-12T01:13:44Z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