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  <w:lang w:val="en-US" w:eastAsia="zh-CN" w:bidi="ar"/>
        </w:rPr>
        <w:t>质量/环境管理体系内审员培训</w:t>
      </w:r>
      <w:r>
        <w:rPr>
          <w:rFonts w:hint="eastAsia" w:ascii="Times New Roman" w:hAnsi="Times New Roman" w:eastAsia="宋体" w:cs="宋体"/>
          <w:b/>
          <w:kern w:val="2"/>
          <w:sz w:val="28"/>
          <w:szCs w:val="28"/>
          <w:lang w:val="en-US" w:eastAsia="zh-CN" w:bidi="ar"/>
        </w:rPr>
        <w:t>日程表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36"/>
          <w:szCs w:val="24"/>
          <w:lang w:val="en-US" w:eastAsia="zh-CN" w:bidi="ar"/>
        </w:rPr>
        <w:t>　　　　　</w:t>
      </w:r>
      <w:r>
        <w:rPr>
          <w:rFonts w:hint="default" w:ascii="Times New Roman" w:hAnsi="Times New Roman" w:eastAsia="宋体" w:cs="Times New Roman"/>
          <w:b/>
          <w:kern w:val="2"/>
          <w:sz w:val="36"/>
          <w:szCs w:val="24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宋体" w:cs="宋体"/>
          <w:b/>
          <w:kern w:val="2"/>
          <w:sz w:val="36"/>
          <w:szCs w:val="24"/>
          <w:lang w:val="en-US" w:eastAsia="zh-CN" w:bidi="ar"/>
        </w:rPr>
        <w:t>　　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05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b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b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b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08:30~11:30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标准发展历程、名词术语、七大原则、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PDCA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、过程方法、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ISO9001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标准、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ISO14001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标准、相关法律法规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11:30~13:00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午餐、休息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13:00~16:30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ISO9001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标准、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ISO14001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标准、相关法律法规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16:30~17:30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复习、讨论、要点把握、布置作业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08:30~11:30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ISO9001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标准、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ISO14001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标准、相关法律法规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11:30~13:00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午餐、休息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13:00~16:30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ISO9001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标准、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ISO14001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标准、相关法律法规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16:30~17:00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复习、讨论、要点把握、布置作业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08:30~11:30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审核计划的策划、检查表编制、内审流程、审核方法技巧、不符合判定和报告的编写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11:30~13:00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午餐、休息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13:00~15:00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模拟考核（审核计划编制、检查表编制、不符合判定、不符合报告编写）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15:00~17:00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模拟考核讲评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28"/>
          <w:szCs w:val="24"/>
          <w:lang w:val="en-US" w:eastAsia="zh-CN" w:bidi="ar"/>
        </w:rPr>
        <w:t>注：每隔９０分钟休息１５分钟。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53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jlee</dc:creator>
  <cp:lastModifiedBy>jlee</cp:lastModifiedBy>
  <dcterms:modified xsi:type="dcterms:W3CDTF">2017-02-16T07:45:49Z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